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侯海军</w:t>
      </w:r>
      <w:r>
        <w:rPr>
          <w:rFonts w:hint="eastAsia"/>
          <w:sz w:val="15"/>
          <w:szCs w:val="15"/>
          <w:highlight w:val="none"/>
        </w:rPr>
        <w:t>，</w:t>
      </w:r>
      <w:r>
        <w:rPr>
          <w:rFonts w:hint="eastAsia"/>
          <w:sz w:val="15"/>
          <w:szCs w:val="15"/>
          <w:highlight w:val="none"/>
          <w:lang w:val="en-US" w:eastAsia="zh-CN"/>
        </w:rPr>
        <w:t>132337197205302910</w:t>
      </w:r>
      <w:r>
        <w:rPr>
          <w:rFonts w:hint="eastAsia"/>
          <w:sz w:val="15"/>
          <w:szCs w:val="15"/>
        </w:rPr>
        <w:t xml:space="preserve">  </w:t>
      </w:r>
      <w:r>
        <w:rPr>
          <w:rFonts w:hint="eastAsia"/>
          <w:sz w:val="15"/>
          <w:szCs w:val="15"/>
          <w:lang w:val="en-US" w:eastAsia="zh-CN"/>
        </w:rPr>
        <w:t>冀AKS246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