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齐永刚</w:t>
      </w:r>
      <w:r>
        <w:rPr>
          <w:rFonts w:hint="eastAsia"/>
          <w:sz w:val="15"/>
          <w:szCs w:val="15"/>
          <w:highlight w:val="none"/>
        </w:rPr>
        <w:t>，</w:t>
      </w:r>
      <w:r>
        <w:rPr>
          <w:rFonts w:hint="eastAsia"/>
          <w:sz w:val="15"/>
          <w:szCs w:val="15"/>
          <w:highlight w:val="none"/>
          <w:lang w:val="en-US" w:eastAsia="zh-CN"/>
        </w:rPr>
        <w:t>132337197108281433</w:t>
      </w:r>
      <w:r>
        <w:rPr>
          <w:rFonts w:hint="eastAsia"/>
          <w:sz w:val="15"/>
          <w:szCs w:val="15"/>
        </w:rPr>
        <w:t xml:space="preserve">  </w:t>
      </w:r>
      <w:r>
        <w:rPr>
          <w:rFonts w:hint="eastAsia"/>
          <w:sz w:val="15"/>
          <w:szCs w:val="15"/>
          <w:lang w:val="en-US" w:eastAsia="zh-CN"/>
        </w:rPr>
        <w:t>冀A74937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