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侯迎春</w:t>
      </w:r>
      <w:r>
        <w:rPr>
          <w:rFonts w:hint="eastAsia"/>
          <w:sz w:val="15"/>
          <w:szCs w:val="15"/>
          <w:highlight w:val="none"/>
        </w:rPr>
        <w:t>，</w:t>
      </w:r>
      <w:r>
        <w:rPr>
          <w:rFonts w:hint="eastAsia"/>
          <w:sz w:val="15"/>
          <w:szCs w:val="15"/>
          <w:highlight w:val="none"/>
          <w:lang w:val="en-US" w:eastAsia="zh-CN"/>
        </w:rPr>
        <w:t>132337197003102910</w:t>
      </w:r>
      <w:r>
        <w:rPr>
          <w:rFonts w:hint="eastAsia"/>
          <w:sz w:val="15"/>
          <w:szCs w:val="15"/>
        </w:rPr>
        <w:t xml:space="preserve">  </w:t>
      </w:r>
      <w:r>
        <w:rPr>
          <w:rFonts w:hint="eastAsia"/>
          <w:sz w:val="15"/>
          <w:szCs w:val="15"/>
          <w:lang w:val="en-US" w:eastAsia="zh-CN"/>
        </w:rPr>
        <w:t>冀A9483Y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