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王春花</w:t>
      </w:r>
      <w:r>
        <w:rPr>
          <w:rFonts w:hint="eastAsia"/>
          <w:sz w:val="15"/>
          <w:szCs w:val="15"/>
          <w:highlight w:val="none"/>
        </w:rPr>
        <w:t>，</w:t>
      </w:r>
      <w:r>
        <w:rPr>
          <w:rFonts w:hint="eastAsia"/>
          <w:sz w:val="15"/>
          <w:szCs w:val="15"/>
          <w:highlight w:val="none"/>
          <w:lang w:val="en-US" w:eastAsia="zh-CN"/>
        </w:rPr>
        <w:t>132336198103281424</w:t>
      </w:r>
      <w:r>
        <w:rPr>
          <w:rFonts w:hint="eastAsia"/>
          <w:sz w:val="15"/>
          <w:szCs w:val="15"/>
        </w:rPr>
        <w:t xml:space="preserve">  </w:t>
      </w:r>
      <w:r>
        <w:rPr>
          <w:rFonts w:hint="eastAsia"/>
          <w:sz w:val="15"/>
          <w:szCs w:val="15"/>
          <w:lang w:val="en-US" w:eastAsia="zh-CN"/>
        </w:rPr>
        <w:t>冀A86449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