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赵志杰</w:t>
      </w:r>
      <w:r>
        <w:rPr>
          <w:rFonts w:hint="eastAsia"/>
          <w:sz w:val="15"/>
          <w:szCs w:val="15"/>
          <w:highlight w:val="none"/>
        </w:rPr>
        <w:t>，</w:t>
      </w:r>
      <w:r>
        <w:rPr>
          <w:rFonts w:hint="eastAsia"/>
          <w:sz w:val="15"/>
          <w:szCs w:val="15"/>
          <w:highlight w:val="none"/>
          <w:lang w:val="en-US" w:eastAsia="zh-CN"/>
        </w:rPr>
        <w:t>132336198012230613</w:t>
      </w:r>
      <w:r>
        <w:rPr>
          <w:rFonts w:hint="eastAsia"/>
          <w:sz w:val="15"/>
          <w:szCs w:val="15"/>
        </w:rPr>
        <w:t xml:space="preserve">  </w:t>
      </w:r>
      <w:r>
        <w:rPr>
          <w:rFonts w:hint="eastAsia"/>
          <w:sz w:val="15"/>
          <w:szCs w:val="15"/>
          <w:lang w:val="en-US" w:eastAsia="zh-CN"/>
        </w:rPr>
        <w:t>冀AYE568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