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郑利花</w:t>
      </w:r>
      <w:r>
        <w:rPr>
          <w:rFonts w:hint="eastAsia"/>
          <w:sz w:val="15"/>
          <w:szCs w:val="15"/>
          <w:highlight w:val="none"/>
        </w:rPr>
        <w:t>，</w:t>
      </w:r>
      <w:r>
        <w:rPr>
          <w:rFonts w:hint="eastAsia"/>
          <w:sz w:val="15"/>
          <w:szCs w:val="15"/>
          <w:highlight w:val="none"/>
          <w:lang w:val="en-US" w:eastAsia="zh-CN"/>
        </w:rPr>
        <w:t>13233619800416082X</w:t>
      </w:r>
      <w:r>
        <w:rPr>
          <w:rFonts w:hint="eastAsia"/>
          <w:sz w:val="15"/>
          <w:szCs w:val="15"/>
        </w:rPr>
        <w:t xml:space="preserve">  </w:t>
      </w:r>
      <w:r>
        <w:rPr>
          <w:rFonts w:hint="eastAsia"/>
          <w:sz w:val="15"/>
          <w:szCs w:val="15"/>
          <w:lang w:val="en-US" w:eastAsia="zh-CN"/>
        </w:rPr>
        <w:t>冀AV5561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