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新敏</w:t>
      </w:r>
      <w:r>
        <w:rPr>
          <w:rFonts w:hint="eastAsia"/>
          <w:sz w:val="15"/>
          <w:szCs w:val="15"/>
          <w:highlight w:val="none"/>
        </w:rPr>
        <w:t>，</w:t>
      </w:r>
      <w:r>
        <w:rPr>
          <w:rFonts w:hint="eastAsia"/>
          <w:sz w:val="15"/>
          <w:szCs w:val="15"/>
          <w:highlight w:val="none"/>
          <w:lang w:val="en-US" w:eastAsia="zh-CN"/>
        </w:rPr>
        <w:t>132336197910220826</w:t>
      </w:r>
      <w:r>
        <w:rPr>
          <w:rFonts w:hint="eastAsia"/>
          <w:sz w:val="15"/>
          <w:szCs w:val="15"/>
        </w:rPr>
        <w:t xml:space="preserve">  </w:t>
      </w:r>
      <w:r>
        <w:rPr>
          <w:rFonts w:hint="eastAsia"/>
          <w:sz w:val="15"/>
          <w:szCs w:val="15"/>
          <w:lang w:val="en-US" w:eastAsia="zh-CN"/>
        </w:rPr>
        <w:t>冀A5142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