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司忠江</w:t>
      </w:r>
      <w:r>
        <w:rPr>
          <w:rFonts w:hint="eastAsia"/>
          <w:sz w:val="15"/>
          <w:szCs w:val="15"/>
          <w:highlight w:val="none"/>
        </w:rPr>
        <w:t>，</w:t>
      </w:r>
      <w:r>
        <w:rPr>
          <w:rFonts w:hint="eastAsia"/>
          <w:sz w:val="15"/>
          <w:szCs w:val="15"/>
          <w:highlight w:val="none"/>
          <w:lang w:val="en-US" w:eastAsia="zh-CN"/>
        </w:rPr>
        <w:t>132336197810081611</w:t>
      </w:r>
      <w:r>
        <w:rPr>
          <w:rFonts w:hint="eastAsia"/>
          <w:sz w:val="15"/>
          <w:szCs w:val="15"/>
        </w:rPr>
        <w:t xml:space="preserve">  </w:t>
      </w:r>
      <w:r>
        <w:rPr>
          <w:rFonts w:hint="eastAsia"/>
          <w:sz w:val="15"/>
          <w:szCs w:val="15"/>
          <w:lang w:val="en-US" w:eastAsia="zh-CN"/>
        </w:rPr>
        <w:t>冀AL5276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