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高建辉</w:t>
      </w:r>
      <w:r>
        <w:rPr>
          <w:rFonts w:hint="eastAsia"/>
          <w:sz w:val="15"/>
          <w:szCs w:val="15"/>
          <w:highlight w:val="none"/>
        </w:rPr>
        <w:t>，</w:t>
      </w:r>
      <w:r>
        <w:rPr>
          <w:rFonts w:hint="eastAsia"/>
          <w:sz w:val="15"/>
          <w:szCs w:val="15"/>
          <w:highlight w:val="none"/>
          <w:lang w:val="en-US" w:eastAsia="zh-CN"/>
        </w:rPr>
        <w:t>132336197702171417</w:t>
      </w:r>
      <w:r>
        <w:rPr>
          <w:rFonts w:hint="eastAsia"/>
          <w:sz w:val="15"/>
          <w:szCs w:val="15"/>
        </w:rPr>
        <w:t xml:space="preserve">  </w:t>
      </w:r>
      <w:r>
        <w:rPr>
          <w:rFonts w:hint="eastAsia"/>
          <w:sz w:val="15"/>
          <w:szCs w:val="15"/>
          <w:lang w:val="en-US" w:eastAsia="zh-CN"/>
        </w:rPr>
        <w:t>冀A56Y23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