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张二国</w:t>
      </w:r>
      <w:r>
        <w:rPr>
          <w:rFonts w:hint="eastAsia"/>
          <w:sz w:val="15"/>
          <w:szCs w:val="15"/>
          <w:highlight w:val="none"/>
        </w:rPr>
        <w:t>，</w:t>
      </w:r>
      <w:r>
        <w:rPr>
          <w:rFonts w:hint="eastAsia"/>
          <w:sz w:val="15"/>
          <w:szCs w:val="15"/>
          <w:highlight w:val="none"/>
          <w:lang w:val="en-US" w:eastAsia="zh-CN"/>
        </w:rPr>
        <w:t>132336197508150612</w:t>
      </w:r>
      <w:r>
        <w:rPr>
          <w:rFonts w:hint="eastAsia"/>
          <w:sz w:val="15"/>
          <w:szCs w:val="15"/>
        </w:rPr>
        <w:t xml:space="preserve">  </w:t>
      </w:r>
      <w:r>
        <w:rPr>
          <w:rFonts w:hint="eastAsia"/>
          <w:sz w:val="15"/>
          <w:szCs w:val="15"/>
          <w:lang w:val="en-US" w:eastAsia="zh-CN"/>
        </w:rPr>
        <w:t>冀A718V0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