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崔军锋</w:t>
      </w:r>
      <w:r>
        <w:rPr>
          <w:rFonts w:hint="eastAsia"/>
          <w:sz w:val="15"/>
          <w:szCs w:val="15"/>
          <w:highlight w:val="none"/>
        </w:rPr>
        <w:t>，</w:t>
      </w:r>
      <w:r>
        <w:rPr>
          <w:rFonts w:hint="eastAsia"/>
          <w:sz w:val="15"/>
          <w:szCs w:val="15"/>
          <w:highlight w:val="none"/>
          <w:lang w:val="en-US" w:eastAsia="zh-CN"/>
        </w:rPr>
        <w:t>132336197501120218</w:t>
      </w:r>
      <w:r>
        <w:rPr>
          <w:rFonts w:hint="eastAsia"/>
          <w:sz w:val="15"/>
          <w:szCs w:val="15"/>
        </w:rPr>
        <w:t xml:space="preserve">  </w:t>
      </w:r>
      <w:r>
        <w:rPr>
          <w:rFonts w:hint="eastAsia"/>
          <w:sz w:val="15"/>
          <w:szCs w:val="15"/>
          <w:lang w:val="en-US" w:eastAsia="zh-CN"/>
        </w:rPr>
        <w:t>冀A256AV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