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樊红芹</w:t>
      </w:r>
      <w:r>
        <w:rPr>
          <w:rFonts w:hint="eastAsia"/>
          <w:sz w:val="15"/>
          <w:szCs w:val="15"/>
          <w:highlight w:val="none"/>
        </w:rPr>
        <w:t>，</w:t>
      </w:r>
      <w:r>
        <w:rPr>
          <w:rFonts w:hint="eastAsia"/>
          <w:sz w:val="15"/>
          <w:szCs w:val="15"/>
          <w:highlight w:val="none"/>
          <w:lang w:val="en-US" w:eastAsia="zh-CN"/>
        </w:rPr>
        <w:t>132336197307030227</w:t>
      </w:r>
      <w:r>
        <w:rPr>
          <w:rFonts w:hint="eastAsia"/>
          <w:sz w:val="15"/>
          <w:szCs w:val="15"/>
        </w:rPr>
        <w:t xml:space="preserve">  </w:t>
      </w:r>
      <w:r>
        <w:rPr>
          <w:rFonts w:hint="eastAsia"/>
          <w:sz w:val="15"/>
          <w:szCs w:val="15"/>
          <w:lang w:val="en-US" w:eastAsia="zh-CN"/>
        </w:rPr>
        <w:t>冀A12H30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