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张二合</w:t>
      </w:r>
      <w:r>
        <w:rPr>
          <w:rFonts w:hint="eastAsia"/>
          <w:sz w:val="15"/>
          <w:szCs w:val="15"/>
          <w:highlight w:val="none"/>
        </w:rPr>
        <w:t>，</w:t>
      </w:r>
      <w:r>
        <w:rPr>
          <w:rFonts w:hint="eastAsia"/>
          <w:sz w:val="15"/>
          <w:szCs w:val="15"/>
          <w:highlight w:val="none"/>
          <w:lang w:val="en-US" w:eastAsia="zh-CN"/>
        </w:rPr>
        <w:t>132336197212062410</w:t>
      </w:r>
      <w:r>
        <w:rPr>
          <w:rFonts w:hint="eastAsia"/>
          <w:sz w:val="15"/>
          <w:szCs w:val="15"/>
        </w:rPr>
        <w:t xml:space="preserve">  </w:t>
      </w:r>
      <w:r>
        <w:rPr>
          <w:rFonts w:hint="eastAsia"/>
          <w:sz w:val="15"/>
          <w:szCs w:val="15"/>
          <w:lang w:val="en-US" w:eastAsia="zh-CN"/>
        </w:rPr>
        <w:t>冀A668KT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