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李跃波</w:t>
      </w:r>
      <w:r>
        <w:rPr>
          <w:rFonts w:hint="eastAsia"/>
          <w:sz w:val="15"/>
          <w:szCs w:val="15"/>
          <w:highlight w:val="none"/>
        </w:rPr>
        <w:t>，</w:t>
      </w:r>
      <w:r>
        <w:rPr>
          <w:rFonts w:hint="eastAsia"/>
          <w:sz w:val="15"/>
          <w:szCs w:val="15"/>
          <w:highlight w:val="none"/>
          <w:lang w:val="en-US" w:eastAsia="zh-CN"/>
        </w:rPr>
        <w:t>132335198111121619</w:t>
      </w:r>
      <w:r>
        <w:rPr>
          <w:rFonts w:hint="eastAsia"/>
          <w:sz w:val="15"/>
          <w:szCs w:val="15"/>
        </w:rPr>
        <w:t xml:space="preserve">  </w:t>
      </w:r>
      <w:r>
        <w:rPr>
          <w:rFonts w:hint="eastAsia"/>
          <w:sz w:val="15"/>
          <w:szCs w:val="15"/>
          <w:lang w:val="en-US" w:eastAsia="zh-CN"/>
        </w:rPr>
        <w:t>冀AY0211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