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李志刚</w:t>
      </w:r>
      <w:r>
        <w:rPr>
          <w:rFonts w:hint="eastAsia"/>
          <w:sz w:val="15"/>
          <w:szCs w:val="15"/>
          <w:highlight w:val="none"/>
        </w:rPr>
        <w:t>，</w:t>
      </w:r>
      <w:r>
        <w:rPr>
          <w:rFonts w:hint="eastAsia"/>
          <w:sz w:val="15"/>
          <w:szCs w:val="15"/>
          <w:highlight w:val="none"/>
          <w:lang w:val="en-US" w:eastAsia="zh-CN"/>
        </w:rPr>
        <w:t>132335198110111179</w:t>
      </w:r>
      <w:r>
        <w:rPr>
          <w:rFonts w:hint="eastAsia"/>
          <w:sz w:val="15"/>
          <w:szCs w:val="15"/>
        </w:rPr>
        <w:t xml:space="preserve">  </w:t>
      </w:r>
      <w:r>
        <w:rPr>
          <w:rFonts w:hint="eastAsia"/>
          <w:sz w:val="15"/>
          <w:szCs w:val="15"/>
          <w:lang w:val="en-US" w:eastAsia="zh-CN"/>
        </w:rPr>
        <w:t>冀A017UX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