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赵志明</w:t>
      </w:r>
      <w:r>
        <w:rPr>
          <w:rFonts w:hint="eastAsia"/>
          <w:sz w:val="15"/>
          <w:szCs w:val="15"/>
          <w:highlight w:val="none"/>
        </w:rPr>
        <w:t>，</w:t>
      </w:r>
      <w:r>
        <w:rPr>
          <w:rFonts w:hint="eastAsia"/>
          <w:sz w:val="15"/>
          <w:szCs w:val="15"/>
          <w:highlight w:val="none"/>
          <w:lang w:val="en-US" w:eastAsia="zh-CN"/>
        </w:rPr>
        <w:t>132335198106071872</w:t>
      </w:r>
      <w:r>
        <w:rPr>
          <w:rFonts w:hint="eastAsia"/>
          <w:sz w:val="15"/>
          <w:szCs w:val="15"/>
        </w:rPr>
        <w:t xml:space="preserve">  </w:t>
      </w:r>
      <w:r>
        <w:rPr>
          <w:rFonts w:hint="eastAsia"/>
          <w:sz w:val="15"/>
          <w:szCs w:val="15"/>
          <w:lang w:val="en-US" w:eastAsia="zh-CN"/>
        </w:rPr>
        <w:t>冀A871HR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