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白丽霞</w:t>
      </w:r>
      <w:r>
        <w:rPr>
          <w:rFonts w:hint="eastAsia"/>
          <w:sz w:val="15"/>
          <w:szCs w:val="15"/>
          <w:highlight w:val="none"/>
        </w:rPr>
        <w:t>，</w:t>
      </w:r>
      <w:r>
        <w:rPr>
          <w:rFonts w:hint="eastAsia"/>
          <w:sz w:val="15"/>
          <w:szCs w:val="15"/>
          <w:highlight w:val="none"/>
          <w:lang w:val="en-US" w:eastAsia="zh-CN"/>
        </w:rPr>
        <w:t>132335198106031029</w:t>
      </w:r>
      <w:r>
        <w:rPr>
          <w:rFonts w:hint="eastAsia"/>
          <w:sz w:val="15"/>
          <w:szCs w:val="15"/>
        </w:rPr>
        <w:t xml:space="preserve">  </w:t>
      </w:r>
      <w:r>
        <w:rPr>
          <w:rFonts w:hint="eastAsia"/>
          <w:sz w:val="15"/>
          <w:szCs w:val="15"/>
          <w:lang w:val="en-US" w:eastAsia="zh-CN"/>
        </w:rPr>
        <w:t>沪A20838A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