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孙建科</w:t>
      </w:r>
      <w:r>
        <w:rPr>
          <w:rFonts w:hint="eastAsia"/>
          <w:sz w:val="15"/>
          <w:szCs w:val="15"/>
          <w:highlight w:val="none"/>
        </w:rPr>
        <w:t>，</w:t>
      </w:r>
      <w:r>
        <w:rPr>
          <w:rFonts w:hint="eastAsia"/>
          <w:sz w:val="15"/>
          <w:szCs w:val="15"/>
          <w:highlight w:val="none"/>
          <w:lang w:val="en-US" w:eastAsia="zh-CN"/>
        </w:rPr>
        <w:t>132335198011220417</w:t>
      </w:r>
      <w:r>
        <w:rPr>
          <w:rFonts w:hint="eastAsia"/>
          <w:sz w:val="15"/>
          <w:szCs w:val="15"/>
        </w:rPr>
        <w:t xml:space="preserve">  </w:t>
      </w:r>
      <w:r>
        <w:rPr>
          <w:rFonts w:hint="eastAsia"/>
          <w:sz w:val="15"/>
          <w:szCs w:val="15"/>
          <w:lang w:val="en-US" w:eastAsia="zh-CN"/>
        </w:rPr>
        <w:t>冀ALZ522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