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梁波宁</w:t>
      </w:r>
      <w:r>
        <w:rPr>
          <w:rFonts w:hint="eastAsia"/>
          <w:sz w:val="15"/>
          <w:szCs w:val="15"/>
          <w:highlight w:val="none"/>
        </w:rPr>
        <w:t>，</w:t>
      </w:r>
      <w:r>
        <w:rPr>
          <w:rFonts w:hint="eastAsia"/>
          <w:sz w:val="15"/>
          <w:szCs w:val="15"/>
          <w:highlight w:val="none"/>
          <w:lang w:val="en-US" w:eastAsia="zh-CN"/>
        </w:rPr>
        <w:t>132335198004142297</w:t>
      </w:r>
      <w:r>
        <w:rPr>
          <w:rFonts w:hint="eastAsia"/>
          <w:sz w:val="15"/>
          <w:szCs w:val="15"/>
        </w:rPr>
        <w:t xml:space="preserve">  </w:t>
      </w:r>
      <w:r>
        <w:rPr>
          <w:rFonts w:hint="eastAsia"/>
          <w:sz w:val="15"/>
          <w:szCs w:val="15"/>
          <w:lang w:val="en-US" w:eastAsia="zh-CN"/>
        </w:rPr>
        <w:t>晋C09976D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