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曹建红</w:t>
      </w:r>
      <w:r>
        <w:rPr>
          <w:rFonts w:hint="eastAsia"/>
          <w:sz w:val="15"/>
          <w:szCs w:val="15"/>
          <w:highlight w:val="none"/>
        </w:rPr>
        <w:t>，</w:t>
      </w:r>
      <w:r>
        <w:rPr>
          <w:rFonts w:hint="eastAsia"/>
          <w:sz w:val="15"/>
          <w:szCs w:val="15"/>
          <w:highlight w:val="none"/>
          <w:lang w:val="en-US" w:eastAsia="zh-CN"/>
        </w:rPr>
        <w:t>132335197911191178</w:t>
      </w:r>
      <w:r>
        <w:rPr>
          <w:rFonts w:hint="eastAsia"/>
          <w:sz w:val="15"/>
          <w:szCs w:val="15"/>
        </w:rPr>
        <w:t xml:space="preserve">  </w:t>
      </w:r>
      <w:r>
        <w:rPr>
          <w:rFonts w:hint="eastAsia"/>
          <w:sz w:val="15"/>
          <w:szCs w:val="15"/>
          <w:lang w:val="en-US" w:eastAsia="zh-CN"/>
        </w:rPr>
        <w:t>冀A49141D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