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王雪全</w:t>
      </w:r>
      <w:r>
        <w:rPr>
          <w:rFonts w:hint="eastAsia"/>
          <w:sz w:val="15"/>
          <w:szCs w:val="15"/>
          <w:highlight w:val="none"/>
        </w:rPr>
        <w:t>，</w:t>
      </w:r>
      <w:r>
        <w:rPr>
          <w:rFonts w:hint="eastAsia"/>
          <w:sz w:val="15"/>
          <w:szCs w:val="15"/>
          <w:highlight w:val="none"/>
          <w:lang w:val="en-US" w:eastAsia="zh-CN"/>
        </w:rPr>
        <w:t>132335197908291012</w:t>
      </w:r>
      <w:r>
        <w:rPr>
          <w:rFonts w:hint="eastAsia"/>
          <w:sz w:val="15"/>
          <w:szCs w:val="15"/>
        </w:rPr>
        <w:t xml:space="preserve">  </w:t>
      </w:r>
      <w:r>
        <w:rPr>
          <w:rFonts w:hint="eastAsia"/>
          <w:sz w:val="15"/>
          <w:szCs w:val="15"/>
          <w:lang w:val="en-US" w:eastAsia="zh-CN"/>
        </w:rPr>
        <w:t>冀A7348F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