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缑进波</w:t>
      </w:r>
      <w:r>
        <w:rPr>
          <w:rFonts w:hint="eastAsia"/>
          <w:sz w:val="15"/>
          <w:szCs w:val="15"/>
          <w:highlight w:val="none"/>
        </w:rPr>
        <w:t>，</w:t>
      </w:r>
      <w:r>
        <w:rPr>
          <w:rFonts w:hint="eastAsia"/>
          <w:sz w:val="15"/>
          <w:szCs w:val="15"/>
          <w:highlight w:val="none"/>
          <w:lang w:val="en-US" w:eastAsia="zh-CN"/>
        </w:rPr>
        <w:t>132335197904060014</w:t>
      </w:r>
      <w:r>
        <w:rPr>
          <w:rFonts w:hint="eastAsia"/>
          <w:sz w:val="15"/>
          <w:szCs w:val="15"/>
        </w:rPr>
        <w:t xml:space="preserve">  </w:t>
      </w:r>
      <w:r>
        <w:rPr>
          <w:rFonts w:hint="eastAsia"/>
          <w:sz w:val="15"/>
          <w:szCs w:val="15"/>
          <w:lang w:val="en-US" w:eastAsia="zh-CN"/>
        </w:rPr>
        <w:t>冀ATC511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