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张春生</w:t>
      </w:r>
      <w:r>
        <w:rPr>
          <w:rFonts w:hint="eastAsia"/>
          <w:sz w:val="15"/>
          <w:szCs w:val="15"/>
          <w:highlight w:val="none"/>
        </w:rPr>
        <w:t>，</w:t>
      </w:r>
      <w:r>
        <w:rPr>
          <w:rFonts w:hint="eastAsia"/>
          <w:sz w:val="15"/>
          <w:szCs w:val="15"/>
          <w:highlight w:val="none"/>
          <w:lang w:val="en-US" w:eastAsia="zh-CN"/>
        </w:rPr>
        <w:t>13233519790101117X</w:t>
      </w:r>
      <w:r>
        <w:rPr>
          <w:rFonts w:hint="eastAsia"/>
          <w:sz w:val="15"/>
          <w:szCs w:val="15"/>
        </w:rPr>
        <w:t xml:space="preserve">  </w:t>
      </w:r>
      <w:r>
        <w:rPr>
          <w:rFonts w:hint="eastAsia"/>
          <w:sz w:val="15"/>
          <w:szCs w:val="15"/>
          <w:lang w:val="en-US" w:eastAsia="zh-CN"/>
        </w:rPr>
        <w:t>冀A55Y63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