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孙利军</w:t>
      </w:r>
      <w:r>
        <w:rPr>
          <w:rFonts w:hint="eastAsia"/>
          <w:sz w:val="15"/>
          <w:szCs w:val="15"/>
          <w:highlight w:val="none"/>
        </w:rPr>
        <w:t>，</w:t>
      </w:r>
      <w:r>
        <w:rPr>
          <w:rFonts w:hint="eastAsia"/>
          <w:sz w:val="15"/>
          <w:szCs w:val="15"/>
          <w:highlight w:val="none"/>
          <w:lang w:val="en-US" w:eastAsia="zh-CN"/>
        </w:rPr>
        <w:t>132335197812121019</w:t>
      </w:r>
      <w:r>
        <w:rPr>
          <w:rFonts w:hint="eastAsia"/>
          <w:sz w:val="15"/>
          <w:szCs w:val="15"/>
        </w:rPr>
        <w:t xml:space="preserve">  </w:t>
      </w:r>
      <w:r>
        <w:rPr>
          <w:rFonts w:hint="eastAsia"/>
          <w:sz w:val="15"/>
          <w:szCs w:val="15"/>
          <w:lang w:val="en-US" w:eastAsia="zh-CN"/>
        </w:rPr>
        <w:t>冀A26U25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