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郝小刚</w:t>
      </w:r>
      <w:r>
        <w:rPr>
          <w:rFonts w:hint="eastAsia"/>
          <w:sz w:val="15"/>
          <w:szCs w:val="15"/>
          <w:highlight w:val="none"/>
        </w:rPr>
        <w:t>，</w:t>
      </w:r>
      <w:r>
        <w:rPr>
          <w:rFonts w:hint="eastAsia"/>
          <w:sz w:val="15"/>
          <w:szCs w:val="15"/>
          <w:highlight w:val="none"/>
          <w:lang w:val="en-US" w:eastAsia="zh-CN"/>
        </w:rPr>
        <w:t>132335197811293070</w:t>
      </w:r>
      <w:r>
        <w:rPr>
          <w:rFonts w:hint="eastAsia"/>
          <w:sz w:val="15"/>
          <w:szCs w:val="15"/>
        </w:rPr>
        <w:t xml:space="preserve">  </w:t>
      </w:r>
      <w:r>
        <w:rPr>
          <w:rFonts w:hint="eastAsia"/>
          <w:sz w:val="15"/>
          <w:szCs w:val="15"/>
          <w:lang w:val="en-US" w:eastAsia="zh-CN"/>
        </w:rPr>
        <w:t>冀A09004D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