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王彦军</w:t>
      </w:r>
      <w:r>
        <w:rPr>
          <w:rFonts w:hint="eastAsia"/>
          <w:sz w:val="15"/>
          <w:szCs w:val="15"/>
          <w:highlight w:val="none"/>
        </w:rPr>
        <w:t>，</w:t>
      </w:r>
      <w:r>
        <w:rPr>
          <w:rFonts w:hint="eastAsia"/>
          <w:sz w:val="15"/>
          <w:szCs w:val="15"/>
          <w:highlight w:val="none"/>
          <w:lang w:val="en-US" w:eastAsia="zh-CN"/>
        </w:rPr>
        <w:t>132335197808040873</w:t>
      </w:r>
      <w:r>
        <w:rPr>
          <w:rFonts w:hint="eastAsia"/>
          <w:sz w:val="15"/>
          <w:szCs w:val="15"/>
        </w:rPr>
        <w:t xml:space="preserve">  </w:t>
      </w:r>
      <w:r>
        <w:rPr>
          <w:rFonts w:hint="eastAsia"/>
          <w:sz w:val="15"/>
          <w:szCs w:val="15"/>
          <w:lang w:val="en-US" w:eastAsia="zh-CN"/>
        </w:rPr>
        <w:t>冀A1C705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