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王文晋</w:t>
      </w:r>
      <w:r>
        <w:rPr>
          <w:rFonts w:hint="eastAsia"/>
          <w:sz w:val="15"/>
          <w:szCs w:val="15"/>
          <w:highlight w:val="none"/>
        </w:rPr>
        <w:t>，</w:t>
      </w:r>
      <w:r>
        <w:rPr>
          <w:rFonts w:hint="eastAsia"/>
          <w:sz w:val="15"/>
          <w:szCs w:val="15"/>
          <w:highlight w:val="none"/>
          <w:lang w:val="en-US" w:eastAsia="zh-CN"/>
        </w:rPr>
        <w:t>132335197804271172</w:t>
      </w:r>
      <w:r>
        <w:rPr>
          <w:rFonts w:hint="eastAsia"/>
          <w:sz w:val="15"/>
          <w:szCs w:val="15"/>
        </w:rPr>
        <w:t xml:space="preserve">  </w:t>
      </w:r>
      <w:r>
        <w:rPr>
          <w:rFonts w:hint="eastAsia"/>
          <w:sz w:val="15"/>
          <w:szCs w:val="15"/>
          <w:lang w:val="en-US" w:eastAsia="zh-CN"/>
        </w:rPr>
        <w:t>冀A9133U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