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竹喜朝</w:t>
      </w:r>
      <w:r>
        <w:rPr>
          <w:rFonts w:hint="eastAsia"/>
          <w:sz w:val="15"/>
          <w:szCs w:val="15"/>
          <w:highlight w:val="none"/>
        </w:rPr>
        <w:t>，</w:t>
      </w:r>
      <w:r>
        <w:rPr>
          <w:rFonts w:hint="eastAsia"/>
          <w:sz w:val="15"/>
          <w:szCs w:val="15"/>
          <w:highlight w:val="none"/>
          <w:lang w:val="en-US" w:eastAsia="zh-CN"/>
        </w:rPr>
        <w:t>132335197802101030</w:t>
      </w:r>
      <w:r>
        <w:rPr>
          <w:rFonts w:hint="eastAsia"/>
          <w:sz w:val="15"/>
          <w:szCs w:val="15"/>
        </w:rPr>
        <w:t xml:space="preserve">  </w:t>
      </w:r>
      <w:r>
        <w:rPr>
          <w:rFonts w:hint="eastAsia"/>
          <w:sz w:val="15"/>
          <w:szCs w:val="15"/>
          <w:lang w:val="en-US" w:eastAsia="zh-CN"/>
        </w:rPr>
        <w:t>冀A977FF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