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于晓朋</w:t>
      </w:r>
      <w:r>
        <w:rPr>
          <w:rFonts w:hint="eastAsia"/>
          <w:sz w:val="15"/>
          <w:szCs w:val="15"/>
          <w:highlight w:val="none"/>
        </w:rPr>
        <w:t>，</w:t>
      </w:r>
      <w:r>
        <w:rPr>
          <w:rFonts w:hint="eastAsia"/>
          <w:sz w:val="15"/>
          <w:szCs w:val="15"/>
          <w:highlight w:val="none"/>
          <w:lang w:val="en-US" w:eastAsia="zh-CN"/>
        </w:rPr>
        <w:t>132335197801250018</w:t>
      </w:r>
      <w:r>
        <w:rPr>
          <w:rFonts w:hint="eastAsia"/>
          <w:sz w:val="15"/>
          <w:szCs w:val="15"/>
        </w:rPr>
        <w:t xml:space="preserve">  </w:t>
      </w:r>
      <w:r>
        <w:rPr>
          <w:rFonts w:hint="eastAsia"/>
          <w:sz w:val="15"/>
          <w:szCs w:val="15"/>
          <w:lang w:val="en-US" w:eastAsia="zh-CN"/>
        </w:rPr>
        <w:t>冀A08594D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