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范二红</w:t>
      </w:r>
      <w:r>
        <w:rPr>
          <w:rFonts w:hint="eastAsia"/>
          <w:sz w:val="15"/>
          <w:szCs w:val="15"/>
          <w:highlight w:val="none"/>
        </w:rPr>
        <w:t>，</w:t>
      </w:r>
      <w:r>
        <w:rPr>
          <w:rFonts w:hint="eastAsia"/>
          <w:sz w:val="15"/>
          <w:szCs w:val="15"/>
          <w:highlight w:val="none"/>
          <w:lang w:val="en-US" w:eastAsia="zh-CN"/>
        </w:rPr>
        <w:t>132335197711121319</w:t>
      </w:r>
      <w:r>
        <w:rPr>
          <w:rFonts w:hint="eastAsia"/>
          <w:sz w:val="15"/>
          <w:szCs w:val="15"/>
        </w:rPr>
        <w:t xml:space="preserve">  </w:t>
      </w:r>
      <w:r>
        <w:rPr>
          <w:rFonts w:hint="eastAsia"/>
          <w:sz w:val="15"/>
          <w:szCs w:val="15"/>
          <w:lang w:val="en-US" w:eastAsia="zh-CN"/>
        </w:rPr>
        <w:t>热镀铝锌卷</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