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秦军平</w:t>
      </w:r>
      <w:r>
        <w:rPr>
          <w:rFonts w:hint="eastAsia"/>
          <w:sz w:val="15"/>
          <w:szCs w:val="15"/>
          <w:highlight w:val="none"/>
        </w:rPr>
        <w:t>，</w:t>
      </w:r>
      <w:r>
        <w:rPr>
          <w:rFonts w:hint="eastAsia"/>
          <w:sz w:val="15"/>
          <w:szCs w:val="15"/>
          <w:highlight w:val="none"/>
          <w:lang w:val="en-US" w:eastAsia="zh-CN"/>
        </w:rPr>
        <w:t>132335197709071623</w:t>
      </w:r>
      <w:r>
        <w:rPr>
          <w:rFonts w:hint="eastAsia"/>
          <w:sz w:val="15"/>
          <w:szCs w:val="15"/>
        </w:rPr>
        <w:t xml:space="preserve">  </w:t>
      </w:r>
      <w:r>
        <w:rPr>
          <w:rFonts w:hint="eastAsia"/>
          <w:sz w:val="15"/>
          <w:szCs w:val="15"/>
          <w:lang w:val="en-US" w:eastAsia="zh-CN"/>
        </w:rPr>
        <w:t>冀A2310Z</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