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柴细朝</w:t>
      </w:r>
      <w:r>
        <w:rPr>
          <w:rFonts w:hint="eastAsia"/>
          <w:sz w:val="15"/>
          <w:szCs w:val="15"/>
          <w:highlight w:val="none"/>
        </w:rPr>
        <w:t>，</w:t>
      </w:r>
      <w:r>
        <w:rPr>
          <w:rFonts w:hint="eastAsia"/>
          <w:sz w:val="15"/>
          <w:szCs w:val="15"/>
          <w:highlight w:val="none"/>
          <w:lang w:val="en-US" w:eastAsia="zh-CN"/>
        </w:rPr>
        <w:t>13233519770712041X</w:t>
      </w:r>
      <w:r>
        <w:rPr>
          <w:rFonts w:hint="eastAsia"/>
          <w:sz w:val="15"/>
          <w:szCs w:val="15"/>
        </w:rPr>
        <w:t xml:space="preserve">  </w:t>
      </w:r>
      <w:r>
        <w:rPr>
          <w:rFonts w:hint="eastAsia"/>
          <w:sz w:val="15"/>
          <w:szCs w:val="15"/>
          <w:lang w:val="en-US" w:eastAsia="zh-CN"/>
        </w:rPr>
        <w:t>冀A30164D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