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李艳军</w:t>
      </w:r>
      <w:r>
        <w:rPr>
          <w:rFonts w:hint="eastAsia"/>
          <w:sz w:val="15"/>
          <w:szCs w:val="15"/>
          <w:highlight w:val="none"/>
        </w:rPr>
        <w:t>，</w:t>
      </w:r>
      <w:r>
        <w:rPr>
          <w:rFonts w:hint="eastAsia"/>
          <w:sz w:val="15"/>
          <w:szCs w:val="15"/>
          <w:highlight w:val="none"/>
          <w:lang w:val="en-US" w:eastAsia="zh-CN"/>
        </w:rPr>
        <w:t>132335197706080014</w:t>
      </w:r>
      <w:r>
        <w:rPr>
          <w:rFonts w:hint="eastAsia"/>
          <w:sz w:val="15"/>
          <w:szCs w:val="15"/>
        </w:rPr>
        <w:t xml:space="preserve">  </w:t>
      </w:r>
      <w:r>
        <w:rPr>
          <w:rFonts w:hint="eastAsia"/>
          <w:sz w:val="15"/>
          <w:szCs w:val="15"/>
          <w:lang w:val="en-US" w:eastAsia="zh-CN"/>
        </w:rPr>
        <w:t>沪A21928A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