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赵彦龙</w:t>
      </w:r>
      <w:r>
        <w:rPr>
          <w:rFonts w:hint="eastAsia"/>
          <w:sz w:val="15"/>
          <w:szCs w:val="15"/>
          <w:highlight w:val="none"/>
        </w:rPr>
        <w:t>，</w:t>
      </w:r>
      <w:r>
        <w:rPr>
          <w:rFonts w:hint="eastAsia"/>
          <w:sz w:val="15"/>
          <w:szCs w:val="15"/>
          <w:highlight w:val="none"/>
          <w:lang w:val="en-US" w:eastAsia="zh-CN"/>
        </w:rPr>
        <w:t>132335197610300713</w:t>
      </w:r>
      <w:r>
        <w:rPr>
          <w:rFonts w:hint="eastAsia"/>
          <w:sz w:val="15"/>
          <w:szCs w:val="15"/>
        </w:rPr>
        <w:t xml:space="preserve">  </w:t>
      </w:r>
      <w:r>
        <w:rPr>
          <w:rFonts w:hint="eastAsia"/>
          <w:sz w:val="15"/>
          <w:szCs w:val="15"/>
          <w:lang w:val="en-US" w:eastAsia="zh-CN"/>
        </w:rPr>
        <w:t>冀A97725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