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张永岗</w:t>
      </w:r>
      <w:r>
        <w:rPr>
          <w:rFonts w:hint="eastAsia"/>
          <w:sz w:val="15"/>
          <w:szCs w:val="15"/>
          <w:highlight w:val="none"/>
        </w:rPr>
        <w:t>，</w:t>
      </w:r>
      <w:r>
        <w:rPr>
          <w:rFonts w:hint="eastAsia"/>
          <w:sz w:val="15"/>
          <w:szCs w:val="15"/>
          <w:highlight w:val="none"/>
          <w:lang w:val="en-US" w:eastAsia="zh-CN"/>
        </w:rPr>
        <w:t>132335197609200870</w:t>
      </w:r>
      <w:r>
        <w:rPr>
          <w:rFonts w:hint="eastAsia"/>
          <w:sz w:val="15"/>
          <w:szCs w:val="15"/>
        </w:rPr>
        <w:t xml:space="preserve">  </w:t>
      </w:r>
      <w:r>
        <w:rPr>
          <w:rFonts w:hint="eastAsia"/>
          <w:sz w:val="15"/>
          <w:szCs w:val="15"/>
          <w:lang w:val="en-US" w:eastAsia="zh-CN"/>
        </w:rPr>
        <w:t>冀A078AG</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