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史红波</w:t>
      </w:r>
      <w:r>
        <w:rPr>
          <w:rFonts w:hint="eastAsia"/>
          <w:sz w:val="15"/>
          <w:szCs w:val="15"/>
          <w:highlight w:val="none"/>
        </w:rPr>
        <w:t>，</w:t>
      </w:r>
      <w:r>
        <w:rPr>
          <w:rFonts w:hint="eastAsia"/>
          <w:sz w:val="15"/>
          <w:szCs w:val="15"/>
          <w:highlight w:val="none"/>
          <w:lang w:val="en-US" w:eastAsia="zh-CN"/>
        </w:rPr>
        <w:t>132335197607191472</w:t>
      </w:r>
      <w:r>
        <w:rPr>
          <w:rFonts w:hint="eastAsia"/>
          <w:sz w:val="15"/>
          <w:szCs w:val="15"/>
        </w:rPr>
        <w:t xml:space="preserve">  </w:t>
      </w:r>
      <w:r>
        <w:rPr>
          <w:rFonts w:hint="eastAsia"/>
          <w:sz w:val="15"/>
          <w:szCs w:val="15"/>
          <w:lang w:val="en-US" w:eastAsia="zh-CN"/>
        </w:rPr>
        <w:t>冀A319XP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