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康明贵</w:t>
      </w:r>
      <w:r>
        <w:rPr>
          <w:rFonts w:hint="eastAsia"/>
          <w:sz w:val="15"/>
          <w:szCs w:val="15"/>
          <w:highlight w:val="none"/>
        </w:rPr>
        <w:t>，</w:t>
      </w:r>
      <w:r>
        <w:rPr>
          <w:rFonts w:hint="eastAsia"/>
          <w:sz w:val="15"/>
          <w:szCs w:val="15"/>
          <w:highlight w:val="none"/>
          <w:lang w:val="en-US" w:eastAsia="zh-CN"/>
        </w:rPr>
        <w:t>132335197605061316</w:t>
      </w:r>
      <w:r>
        <w:rPr>
          <w:rFonts w:hint="eastAsia"/>
          <w:sz w:val="15"/>
          <w:szCs w:val="15"/>
        </w:rPr>
        <w:t xml:space="preserve">  </w:t>
      </w:r>
      <w:r>
        <w:rPr>
          <w:rFonts w:hint="eastAsia"/>
          <w:sz w:val="15"/>
          <w:szCs w:val="15"/>
          <w:lang w:val="en-US" w:eastAsia="zh-CN"/>
        </w:rPr>
        <w:t>鲁G08989D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