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刘志强</w:t>
      </w:r>
      <w:r>
        <w:rPr>
          <w:rFonts w:hint="eastAsia"/>
          <w:sz w:val="15"/>
          <w:szCs w:val="15"/>
          <w:highlight w:val="none"/>
        </w:rPr>
        <w:t>，</w:t>
      </w:r>
      <w:r>
        <w:rPr>
          <w:rFonts w:hint="eastAsia"/>
          <w:sz w:val="15"/>
          <w:szCs w:val="15"/>
          <w:highlight w:val="none"/>
          <w:lang w:val="en-US" w:eastAsia="zh-CN"/>
        </w:rPr>
        <w:t>132335197603291177</w:t>
      </w:r>
      <w:r>
        <w:rPr>
          <w:rFonts w:hint="eastAsia"/>
          <w:sz w:val="15"/>
          <w:szCs w:val="15"/>
        </w:rPr>
        <w:t xml:space="preserve">  </w:t>
      </w:r>
      <w:r>
        <w:rPr>
          <w:rFonts w:hint="eastAsia"/>
          <w:sz w:val="15"/>
          <w:szCs w:val="15"/>
          <w:lang w:val="en-US" w:eastAsia="zh-CN"/>
        </w:rPr>
        <w:t>冀A08360D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