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习永刚</w:t>
      </w:r>
      <w:r>
        <w:rPr>
          <w:rFonts w:hint="eastAsia"/>
          <w:sz w:val="15"/>
          <w:szCs w:val="15"/>
          <w:highlight w:val="none"/>
        </w:rPr>
        <w:t>，</w:t>
      </w:r>
      <w:r>
        <w:rPr>
          <w:rFonts w:hint="eastAsia"/>
          <w:sz w:val="15"/>
          <w:szCs w:val="15"/>
          <w:highlight w:val="none"/>
          <w:lang w:val="en-US" w:eastAsia="zh-CN"/>
        </w:rPr>
        <w:t>132335197603250877</w:t>
      </w:r>
      <w:r>
        <w:rPr>
          <w:rFonts w:hint="eastAsia"/>
          <w:sz w:val="15"/>
          <w:szCs w:val="15"/>
        </w:rPr>
        <w:t xml:space="preserve">  </w:t>
      </w:r>
      <w:r>
        <w:rPr>
          <w:rFonts w:hint="eastAsia"/>
          <w:sz w:val="15"/>
          <w:szCs w:val="15"/>
          <w:lang w:val="en-US" w:eastAsia="zh-CN"/>
        </w:rPr>
        <w:t>沪A05280A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