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陈立君</w:t>
      </w:r>
      <w:r>
        <w:rPr>
          <w:rFonts w:hint="eastAsia"/>
          <w:sz w:val="15"/>
          <w:szCs w:val="15"/>
          <w:highlight w:val="none"/>
        </w:rPr>
        <w:t>，</w:t>
      </w:r>
      <w:r>
        <w:rPr>
          <w:rFonts w:hint="eastAsia"/>
          <w:sz w:val="15"/>
          <w:szCs w:val="15"/>
          <w:highlight w:val="none"/>
          <w:lang w:val="en-US" w:eastAsia="zh-CN"/>
        </w:rPr>
        <w:t>132335197502261817</w:t>
      </w:r>
      <w:r>
        <w:rPr>
          <w:rFonts w:hint="eastAsia"/>
          <w:sz w:val="15"/>
          <w:szCs w:val="15"/>
        </w:rPr>
        <w:t xml:space="preserve">  </w:t>
      </w:r>
      <w:r>
        <w:rPr>
          <w:rFonts w:hint="eastAsia"/>
          <w:sz w:val="15"/>
          <w:szCs w:val="15"/>
          <w:lang w:val="en-US" w:eastAsia="zh-CN"/>
        </w:rPr>
        <w:t>冀A49U68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