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张联朝</w:t>
      </w:r>
      <w:r>
        <w:rPr>
          <w:rFonts w:hint="eastAsia"/>
          <w:sz w:val="15"/>
          <w:szCs w:val="15"/>
          <w:highlight w:val="none"/>
        </w:rPr>
        <w:t>，</w:t>
      </w:r>
      <w:r>
        <w:rPr>
          <w:rFonts w:hint="eastAsia"/>
          <w:sz w:val="15"/>
          <w:szCs w:val="15"/>
          <w:highlight w:val="none"/>
          <w:lang w:val="en-US" w:eastAsia="zh-CN"/>
        </w:rPr>
        <w:t>132335197406210876</w:t>
      </w:r>
      <w:r>
        <w:rPr>
          <w:rFonts w:hint="eastAsia"/>
          <w:sz w:val="15"/>
          <w:szCs w:val="15"/>
        </w:rPr>
        <w:t xml:space="preserve">  </w:t>
      </w:r>
      <w:r>
        <w:rPr>
          <w:rFonts w:hint="eastAsia"/>
          <w:sz w:val="15"/>
          <w:szCs w:val="15"/>
          <w:lang w:val="en-US" w:eastAsia="zh-CN"/>
        </w:rPr>
        <w:t>冀AM8242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