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李永平</w:t>
      </w:r>
      <w:r>
        <w:rPr>
          <w:rFonts w:hint="eastAsia"/>
          <w:sz w:val="15"/>
          <w:szCs w:val="15"/>
          <w:highlight w:val="none"/>
        </w:rPr>
        <w:t>，</w:t>
      </w:r>
      <w:r>
        <w:rPr>
          <w:rFonts w:hint="eastAsia"/>
          <w:sz w:val="15"/>
          <w:szCs w:val="15"/>
          <w:highlight w:val="none"/>
          <w:lang w:val="en-US" w:eastAsia="zh-CN"/>
        </w:rPr>
        <w:t>132335197008100276</w:t>
      </w:r>
      <w:r>
        <w:rPr>
          <w:rFonts w:hint="eastAsia"/>
          <w:sz w:val="15"/>
          <w:szCs w:val="15"/>
        </w:rPr>
        <w:t xml:space="preserve">  </w:t>
      </w:r>
      <w:r>
        <w:rPr>
          <w:rFonts w:hint="eastAsia"/>
          <w:sz w:val="15"/>
          <w:szCs w:val="15"/>
          <w:lang w:val="en-US" w:eastAsia="zh-CN"/>
        </w:rPr>
        <w:t>冀A7448U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