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武岁法</w:t>
      </w:r>
      <w:r>
        <w:rPr>
          <w:rFonts w:hint="eastAsia"/>
          <w:sz w:val="15"/>
          <w:szCs w:val="15"/>
          <w:highlight w:val="none"/>
        </w:rPr>
        <w:t>，</w:t>
      </w:r>
      <w:r>
        <w:rPr>
          <w:rFonts w:hint="eastAsia"/>
          <w:sz w:val="15"/>
          <w:szCs w:val="15"/>
          <w:highlight w:val="none"/>
          <w:lang w:val="en-US" w:eastAsia="zh-CN"/>
        </w:rPr>
        <w:t>132335196905151191</w:t>
      </w:r>
      <w:r>
        <w:rPr>
          <w:rFonts w:hint="eastAsia"/>
          <w:sz w:val="15"/>
          <w:szCs w:val="15"/>
        </w:rPr>
        <w:t xml:space="preserve">  </w:t>
      </w:r>
      <w:r>
        <w:rPr>
          <w:rFonts w:hint="eastAsia"/>
          <w:sz w:val="15"/>
          <w:szCs w:val="15"/>
          <w:lang w:val="en-US" w:eastAsia="zh-CN"/>
        </w:rPr>
        <w:t>沪A85222D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