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李铁军</w:t>
      </w:r>
      <w:r>
        <w:rPr>
          <w:rFonts w:hint="eastAsia"/>
          <w:sz w:val="15"/>
          <w:szCs w:val="15"/>
          <w:highlight w:val="none"/>
        </w:rPr>
        <w:t>，</w:t>
      </w:r>
      <w:r>
        <w:rPr>
          <w:rFonts w:hint="eastAsia"/>
          <w:sz w:val="15"/>
          <w:szCs w:val="15"/>
          <w:highlight w:val="none"/>
          <w:lang w:val="en-US" w:eastAsia="zh-CN"/>
        </w:rPr>
        <w:t>132335196710150017</w:t>
      </w:r>
      <w:r>
        <w:rPr>
          <w:rFonts w:hint="eastAsia"/>
          <w:sz w:val="15"/>
          <w:szCs w:val="15"/>
        </w:rPr>
        <w:t xml:space="preserve">  </w:t>
      </w:r>
      <w:r>
        <w:rPr>
          <w:rFonts w:hint="eastAsia"/>
          <w:sz w:val="15"/>
          <w:szCs w:val="15"/>
          <w:lang w:val="en-US" w:eastAsia="zh-CN"/>
        </w:rPr>
        <w:t>冀A41411D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