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刘志勇</w:t>
      </w:r>
      <w:r>
        <w:rPr>
          <w:rFonts w:hint="eastAsia"/>
          <w:sz w:val="15"/>
          <w:szCs w:val="15"/>
          <w:highlight w:val="none"/>
        </w:rPr>
        <w:t>，</w:t>
      </w:r>
      <w:r>
        <w:rPr>
          <w:rFonts w:hint="eastAsia"/>
          <w:sz w:val="15"/>
          <w:szCs w:val="15"/>
          <w:highlight w:val="none"/>
          <w:lang w:val="en-US" w:eastAsia="zh-CN"/>
        </w:rPr>
        <w:t>132329197708203615</w:t>
      </w:r>
      <w:r>
        <w:rPr>
          <w:rFonts w:hint="eastAsia"/>
          <w:sz w:val="15"/>
          <w:szCs w:val="15"/>
        </w:rPr>
        <w:t xml:space="preserve">  </w:t>
      </w:r>
      <w:r>
        <w:rPr>
          <w:rFonts w:hint="eastAsia"/>
          <w:sz w:val="15"/>
          <w:szCs w:val="15"/>
          <w:lang w:val="en-US" w:eastAsia="zh-CN"/>
        </w:rPr>
        <w:t>冀A6284V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