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刘俊果</w:t>
      </w:r>
      <w:r>
        <w:rPr>
          <w:rFonts w:hint="eastAsia"/>
          <w:sz w:val="15"/>
          <w:szCs w:val="15"/>
          <w:highlight w:val="none"/>
        </w:rPr>
        <w:t>，</w:t>
      </w:r>
      <w:r>
        <w:rPr>
          <w:rFonts w:hint="eastAsia"/>
          <w:sz w:val="15"/>
          <w:szCs w:val="15"/>
          <w:highlight w:val="none"/>
          <w:lang w:val="en-US" w:eastAsia="zh-CN"/>
        </w:rPr>
        <w:t>132325197210185610</w:t>
      </w:r>
      <w:r>
        <w:rPr>
          <w:rFonts w:hint="eastAsia"/>
          <w:sz w:val="15"/>
          <w:szCs w:val="15"/>
        </w:rPr>
        <w:t xml:space="preserve">  </w:t>
      </w:r>
      <w:r>
        <w:rPr>
          <w:rFonts w:hint="eastAsia"/>
          <w:sz w:val="15"/>
          <w:szCs w:val="15"/>
          <w:lang w:val="en-US" w:eastAsia="zh-CN"/>
        </w:rPr>
        <w:t>冀ACE733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