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徐华卫</w:t>
      </w:r>
      <w:r>
        <w:rPr>
          <w:rFonts w:hint="eastAsia"/>
          <w:sz w:val="15"/>
          <w:szCs w:val="15"/>
          <w:highlight w:val="none"/>
        </w:rPr>
        <w:t>，</w:t>
      </w:r>
      <w:r>
        <w:rPr>
          <w:rFonts w:hint="eastAsia"/>
          <w:sz w:val="15"/>
          <w:szCs w:val="15"/>
          <w:highlight w:val="none"/>
          <w:lang w:val="en-US" w:eastAsia="zh-CN"/>
        </w:rPr>
        <w:t>132325197102075094</w:t>
      </w:r>
      <w:r>
        <w:rPr>
          <w:rFonts w:hint="eastAsia"/>
          <w:sz w:val="15"/>
          <w:szCs w:val="15"/>
        </w:rPr>
        <w:t xml:space="preserve">  </w:t>
      </w:r>
      <w:r>
        <w:rPr>
          <w:rFonts w:hint="eastAsia"/>
          <w:sz w:val="15"/>
          <w:szCs w:val="15"/>
          <w:lang w:val="en-US" w:eastAsia="zh-CN"/>
        </w:rPr>
        <w:t>冀A99L17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