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苏青辉</w:t>
      </w:r>
      <w:r>
        <w:rPr>
          <w:rFonts w:hint="eastAsia"/>
          <w:sz w:val="15"/>
          <w:szCs w:val="15"/>
          <w:highlight w:val="none"/>
        </w:rPr>
        <w:t>，</w:t>
      </w:r>
      <w:r>
        <w:rPr>
          <w:rFonts w:hint="eastAsia"/>
          <w:sz w:val="15"/>
          <w:szCs w:val="15"/>
          <w:highlight w:val="none"/>
          <w:lang w:val="en-US" w:eastAsia="zh-CN"/>
        </w:rPr>
        <w:t>132322197412202811</w:t>
      </w:r>
      <w:r>
        <w:rPr>
          <w:rFonts w:hint="eastAsia"/>
          <w:sz w:val="15"/>
          <w:szCs w:val="15"/>
        </w:rPr>
        <w:t xml:space="preserve">  </w:t>
      </w:r>
      <w:r>
        <w:rPr>
          <w:rFonts w:hint="eastAsia"/>
          <w:sz w:val="15"/>
          <w:szCs w:val="15"/>
          <w:lang w:val="en-US" w:eastAsia="zh-CN"/>
        </w:rPr>
        <w:t>沪A02259A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