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张鹏</w:t>
      </w:r>
      <w:r>
        <w:rPr>
          <w:rFonts w:hint="eastAsia"/>
          <w:sz w:val="15"/>
          <w:szCs w:val="15"/>
          <w:highlight w:val="none"/>
        </w:rPr>
        <w:t>，</w:t>
      </w:r>
      <w:r>
        <w:rPr>
          <w:rFonts w:hint="eastAsia"/>
          <w:sz w:val="15"/>
          <w:szCs w:val="15"/>
          <w:highlight w:val="none"/>
          <w:lang w:val="en-US" w:eastAsia="zh-CN"/>
        </w:rPr>
        <w:t>132302198107180336</w:t>
      </w:r>
      <w:r>
        <w:rPr>
          <w:rFonts w:hint="eastAsia"/>
          <w:sz w:val="15"/>
          <w:szCs w:val="15"/>
        </w:rPr>
        <w:t xml:space="preserve">  </w:t>
      </w:r>
      <w:r>
        <w:rPr>
          <w:rFonts w:hint="eastAsia"/>
          <w:sz w:val="15"/>
          <w:szCs w:val="15"/>
          <w:lang w:val="en-US" w:eastAsia="zh-CN"/>
        </w:rPr>
        <w:t>冀AJG753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