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黄金峰</w:t>
      </w:r>
      <w:r>
        <w:rPr>
          <w:rFonts w:hint="eastAsia"/>
          <w:sz w:val="15"/>
          <w:szCs w:val="15"/>
          <w:highlight w:val="none"/>
        </w:rPr>
        <w:t>，</w:t>
      </w:r>
      <w:r>
        <w:rPr>
          <w:rFonts w:hint="eastAsia"/>
          <w:sz w:val="15"/>
          <w:szCs w:val="15"/>
          <w:highlight w:val="none"/>
          <w:lang w:val="en-US" w:eastAsia="zh-CN"/>
        </w:rPr>
        <w:t>13230219791001501X</w:t>
      </w:r>
      <w:r>
        <w:rPr>
          <w:rFonts w:hint="eastAsia"/>
          <w:sz w:val="15"/>
          <w:szCs w:val="15"/>
        </w:rPr>
        <w:t xml:space="preserve">  </w:t>
      </w:r>
      <w:r>
        <w:rPr>
          <w:rFonts w:hint="eastAsia"/>
          <w:sz w:val="15"/>
          <w:szCs w:val="15"/>
          <w:lang w:val="en-US" w:eastAsia="zh-CN"/>
        </w:rPr>
        <w:t>冀A71489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